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056" w:rsidRPr="001D2056" w:rsidRDefault="008F1E52" w:rsidP="008F1E52">
      <w:pPr>
        <w:rPr>
          <w:rFonts w:cs="Helvetica"/>
          <w:b/>
          <w:sz w:val="24"/>
          <w:szCs w:val="24"/>
          <w:u w:val="single"/>
        </w:rPr>
      </w:pPr>
      <w:bookmarkStart w:id="0" w:name="_GoBack"/>
      <w:bookmarkEnd w:id="0"/>
      <w:r w:rsidRPr="001D2056">
        <w:rPr>
          <w:rFonts w:cs="Helvetica"/>
          <w:b/>
          <w:sz w:val="24"/>
          <w:szCs w:val="24"/>
          <w:u w:val="single"/>
        </w:rPr>
        <w:t xml:space="preserve">ANNEX 5. </w:t>
      </w:r>
      <w:r w:rsidR="001D2056">
        <w:rPr>
          <w:rFonts w:cs="Helvetica"/>
          <w:b/>
          <w:sz w:val="24"/>
          <w:szCs w:val="24"/>
          <w:u w:val="single"/>
        </w:rPr>
        <w:t>B</w:t>
      </w:r>
      <w:r w:rsidRPr="001D2056">
        <w:rPr>
          <w:rFonts w:cs="Helvetica"/>
          <w:b/>
          <w:sz w:val="24"/>
          <w:szCs w:val="24"/>
          <w:u w:val="single"/>
        </w:rPr>
        <w:t xml:space="preserve">is. </w:t>
      </w:r>
    </w:p>
    <w:p w:rsidR="001D2056" w:rsidRPr="001D2056" w:rsidRDefault="001D2056" w:rsidP="008F1E52">
      <w:pPr>
        <w:rPr>
          <w:rFonts w:cs="Helvetica"/>
          <w:b/>
          <w:sz w:val="24"/>
          <w:szCs w:val="24"/>
          <w:u w:val="single"/>
        </w:rPr>
      </w:pPr>
    </w:p>
    <w:p w:rsidR="008F1E52" w:rsidRPr="001D2056" w:rsidRDefault="008F1E52" w:rsidP="008F1E52">
      <w:pPr>
        <w:rPr>
          <w:rFonts w:cs="Helvetica"/>
          <w:b/>
          <w:sz w:val="24"/>
          <w:szCs w:val="24"/>
          <w:u w:val="single"/>
        </w:rPr>
      </w:pPr>
      <w:r w:rsidRPr="001D2056">
        <w:rPr>
          <w:rFonts w:cs="Helvetica"/>
          <w:b/>
          <w:sz w:val="24"/>
          <w:szCs w:val="24"/>
          <w:u w:val="single"/>
        </w:rPr>
        <w:t xml:space="preserve">DISSENY DE REGISTRES I NORMES DE GRAVACIÓ D’INFORMACIÓ D’EMPRESES AGRÀRIES </w:t>
      </w:r>
    </w:p>
    <w:p w:rsidR="008F1E52" w:rsidRPr="001D2056" w:rsidRDefault="008F1E52" w:rsidP="008F1E52">
      <w:pPr>
        <w:jc w:val="center"/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b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b/>
          <w:sz w:val="24"/>
          <w:szCs w:val="24"/>
        </w:rPr>
      </w:pPr>
      <w:r w:rsidRPr="001D2056">
        <w:rPr>
          <w:rFonts w:cs="Helvetica"/>
          <w:b/>
          <w:sz w:val="24"/>
          <w:szCs w:val="24"/>
        </w:rPr>
        <w:t>1) DISSENY DE REGISTRES:</w:t>
      </w:r>
    </w:p>
    <w:p w:rsidR="008F1E52" w:rsidRPr="001D2056" w:rsidRDefault="008F1E52" w:rsidP="008F1E52">
      <w:pPr>
        <w:jc w:val="center"/>
        <w:rPr>
          <w:rFonts w:cs="Helvetica"/>
          <w:sz w:val="24"/>
          <w:szCs w:val="24"/>
        </w:rPr>
      </w:pP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939"/>
        <w:gridCol w:w="932"/>
        <w:gridCol w:w="1190"/>
      </w:tblGrid>
      <w:tr w:rsidR="008F1E52" w:rsidRPr="001D2056" w:rsidTr="003912BD">
        <w:trPr>
          <w:gridAfter w:val="3"/>
          <w:wAfter w:w="4061" w:type="dxa"/>
          <w:cantSplit/>
          <w:trHeight w:val="276"/>
        </w:trPr>
        <w:tc>
          <w:tcPr>
            <w:tcW w:w="4219" w:type="dxa"/>
            <w:vMerge w:val="restart"/>
            <w:vAlign w:val="center"/>
          </w:tcPr>
          <w:p w:rsidR="008F1E52" w:rsidRPr="001D2056" w:rsidRDefault="008F1E52" w:rsidP="003912BD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1D2056">
              <w:rPr>
                <w:rFonts w:cs="Helvetica"/>
                <w:b/>
                <w:sz w:val="24"/>
                <w:szCs w:val="24"/>
              </w:rPr>
              <w:t>CONCEPTE</w:t>
            </w:r>
          </w:p>
        </w:tc>
      </w:tr>
      <w:tr w:rsidR="008F1E52" w:rsidRPr="001D2056" w:rsidTr="003912BD">
        <w:trPr>
          <w:cantSplit/>
        </w:trPr>
        <w:tc>
          <w:tcPr>
            <w:tcW w:w="4219" w:type="dxa"/>
            <w:vMerge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1D2056">
              <w:rPr>
                <w:rFonts w:cs="Helvetica"/>
                <w:b/>
                <w:sz w:val="24"/>
                <w:szCs w:val="24"/>
              </w:rPr>
              <w:t>NOM CAMP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1D2056">
              <w:rPr>
                <w:rFonts w:cs="Helvetica"/>
                <w:b/>
                <w:sz w:val="24"/>
                <w:szCs w:val="24"/>
              </w:rPr>
              <w:t>TIPUS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b/>
                <w:sz w:val="24"/>
                <w:szCs w:val="24"/>
              </w:rPr>
            </w:pPr>
            <w:r w:rsidRPr="001D2056">
              <w:rPr>
                <w:rFonts w:cs="Helvetica"/>
                <w:b/>
                <w:sz w:val="24"/>
                <w:szCs w:val="24"/>
              </w:rPr>
              <w:t>AMPLE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1.- Codi XCAC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CODI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Text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5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2.- Sector –Apartat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APARTAT OTE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Text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2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3.- Dimensió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DIM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Text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10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4.- Unitat Dimensió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UNITAT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Text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2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5.- Codi província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PROVINCIA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Text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2</w:t>
            </w:r>
          </w:p>
        </w:tc>
      </w:tr>
      <w:tr w:rsidR="008F1E52" w:rsidRPr="001D2056" w:rsidTr="003912BD">
        <w:tc>
          <w:tcPr>
            <w:tcW w:w="4219" w:type="dxa"/>
            <w:vAlign w:val="center"/>
          </w:tcPr>
          <w:p w:rsidR="008F1E52" w:rsidRPr="001D2056" w:rsidRDefault="008F1E52" w:rsidP="003912BD">
            <w:pPr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6.- Número Activitats</w:t>
            </w:r>
          </w:p>
        </w:tc>
        <w:tc>
          <w:tcPr>
            <w:tcW w:w="1939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ACTIVITATS</w:t>
            </w:r>
          </w:p>
        </w:tc>
        <w:tc>
          <w:tcPr>
            <w:tcW w:w="932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Num</w:t>
            </w:r>
          </w:p>
        </w:tc>
        <w:tc>
          <w:tcPr>
            <w:tcW w:w="1190" w:type="dxa"/>
          </w:tcPr>
          <w:p w:rsidR="008F1E52" w:rsidRPr="001D2056" w:rsidRDefault="008F1E52" w:rsidP="003912BD">
            <w:pPr>
              <w:jc w:val="center"/>
              <w:rPr>
                <w:rFonts w:cs="Helvetica"/>
                <w:sz w:val="24"/>
                <w:szCs w:val="24"/>
              </w:rPr>
            </w:pPr>
            <w:r w:rsidRPr="001D2056">
              <w:rPr>
                <w:rFonts w:cs="Helvetica"/>
                <w:sz w:val="24"/>
                <w:szCs w:val="24"/>
              </w:rPr>
              <w:t>2</w:t>
            </w:r>
          </w:p>
        </w:tc>
      </w:tr>
    </w:tbl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S’anomenaran els fitxers </w:t>
      </w:r>
      <w:r w:rsidRPr="001D2056">
        <w:rPr>
          <w:rFonts w:cs="Helvetica"/>
          <w:b/>
          <w:sz w:val="24"/>
          <w:szCs w:val="24"/>
        </w:rPr>
        <w:t xml:space="preserve">INFORMX.MDB, </w:t>
      </w:r>
      <w:r w:rsidRPr="001D2056">
        <w:rPr>
          <w:rFonts w:cs="Helvetica"/>
          <w:sz w:val="24"/>
          <w:szCs w:val="24"/>
        </w:rPr>
        <w:t>essent X el número de lot. El format del fitxer serà Microsoft ACCESS.</w:t>
      </w:r>
      <w:r w:rsidRPr="001D2056">
        <w:rPr>
          <w:rFonts w:cs="Helvetica"/>
          <w:b/>
          <w:sz w:val="24"/>
          <w:szCs w:val="24"/>
        </w:rPr>
        <w:t xml:space="preserve"> 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b/>
          <w:sz w:val="24"/>
          <w:szCs w:val="24"/>
        </w:rPr>
      </w:pPr>
      <w:r w:rsidRPr="001D2056">
        <w:rPr>
          <w:rFonts w:cs="Helvetica"/>
          <w:b/>
          <w:sz w:val="24"/>
          <w:szCs w:val="24"/>
        </w:rPr>
        <w:t>2) NORMES DE GRAVACIÓ D’INFORMACIÓ D’EMPRESES AGRÀRIES INFORMX.MDB:</w:t>
      </w:r>
    </w:p>
    <w:p w:rsidR="008F1E52" w:rsidRPr="001D2056" w:rsidRDefault="008F1E52" w:rsidP="008F1E52">
      <w:pPr>
        <w:jc w:val="center"/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1. </w:t>
      </w:r>
      <w:r w:rsidRPr="001D2056">
        <w:rPr>
          <w:rFonts w:cs="Helvetica"/>
          <w:b/>
          <w:sz w:val="24"/>
          <w:szCs w:val="24"/>
          <w:u w:val="single"/>
        </w:rPr>
        <w:t>CODI XCAC:</w:t>
      </w:r>
      <w:r w:rsidRPr="001D2056">
        <w:rPr>
          <w:rFonts w:cs="Helvetica"/>
          <w:b/>
          <w:sz w:val="24"/>
          <w:szCs w:val="24"/>
        </w:rPr>
        <w:t xml:space="preserve"> </w:t>
      </w:r>
      <w:r w:rsidRPr="001D2056">
        <w:rPr>
          <w:rFonts w:cs="Helvetica"/>
          <w:sz w:val="24"/>
          <w:szCs w:val="24"/>
        </w:rPr>
        <w:t>És el número d’explotació  donat pel DA</w:t>
      </w:r>
      <w:r w:rsidR="001D2056">
        <w:rPr>
          <w:rFonts w:cs="Helvetica"/>
          <w:sz w:val="24"/>
          <w:szCs w:val="24"/>
        </w:rPr>
        <w:t>CC</w:t>
      </w:r>
      <w:r w:rsidRPr="001D2056">
        <w:rPr>
          <w:rFonts w:cs="Helvetica"/>
          <w:sz w:val="24"/>
          <w:szCs w:val="24"/>
        </w:rPr>
        <w:t> a les Explotacions Agràries que van col·laborar durant l’exercici anterior, sense poder duplicar-se, en cap cas, el codi de les explotacions. Si la explotació no disposa d’aquest codi es deixarà en blanc.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2. </w:t>
      </w:r>
      <w:r w:rsidRPr="001D2056">
        <w:rPr>
          <w:rFonts w:cs="Helvetica"/>
          <w:b/>
          <w:sz w:val="24"/>
          <w:szCs w:val="24"/>
          <w:u w:val="single"/>
        </w:rPr>
        <w:t>CODI D’OTE DE L’EXPLOTACIÓ:</w:t>
      </w:r>
      <w:r w:rsidRPr="001D2056">
        <w:rPr>
          <w:rFonts w:cs="Helvetica"/>
          <w:sz w:val="24"/>
          <w:szCs w:val="24"/>
        </w:rPr>
        <w:t xml:space="preserve"> Codi d'Orientació tècnico-econòmica de l’explotació segons codis que figuren en l’annex 6.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3. </w:t>
      </w:r>
      <w:r w:rsidRPr="001D2056">
        <w:rPr>
          <w:rFonts w:cs="Helvetica"/>
          <w:b/>
          <w:bCs/>
          <w:sz w:val="24"/>
          <w:szCs w:val="24"/>
          <w:u w:val="single"/>
        </w:rPr>
        <w:t>DIMENSIÓ:</w:t>
      </w:r>
      <w:r w:rsidRPr="001D2056">
        <w:rPr>
          <w:rFonts w:cs="Helvetica"/>
          <w:b/>
          <w:bCs/>
          <w:sz w:val="24"/>
          <w:szCs w:val="24"/>
        </w:rPr>
        <w:t xml:space="preserve"> </w:t>
      </w:r>
      <w:r w:rsidRPr="001D2056">
        <w:rPr>
          <w:rFonts w:cs="Helvetica"/>
          <w:sz w:val="24"/>
          <w:szCs w:val="24"/>
        </w:rPr>
        <w:t xml:space="preserve">Dimensió física de l’activitat principal. No s’indicarà en les explotacions amb </w:t>
      </w:r>
      <w:smartTag w:uri="urn:schemas-microsoft-com:office:smarttags" w:element="PersonName">
        <w:smartTagPr>
          <w:attr w:name="ProductID" w:val="la OTE"/>
        </w:smartTagPr>
        <w:r w:rsidRPr="001D2056">
          <w:rPr>
            <w:rFonts w:cs="Helvetica"/>
            <w:sz w:val="24"/>
            <w:szCs w:val="24"/>
          </w:rPr>
          <w:t>la OTE</w:t>
        </w:r>
      </w:smartTag>
      <w:r w:rsidRPr="001D2056">
        <w:rPr>
          <w:rFonts w:cs="Helvetica"/>
          <w:sz w:val="24"/>
          <w:szCs w:val="24"/>
        </w:rPr>
        <w:t xml:space="preserve"> 999- Explotacions mixtes.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4. </w:t>
      </w:r>
      <w:r w:rsidRPr="001D2056">
        <w:rPr>
          <w:rFonts w:cs="Helvetica"/>
          <w:b/>
          <w:bCs/>
          <w:sz w:val="24"/>
          <w:szCs w:val="24"/>
          <w:u w:val="single"/>
        </w:rPr>
        <w:t>UNITAT DIMENSIÓ:</w:t>
      </w:r>
      <w:r w:rsidRPr="001D2056">
        <w:rPr>
          <w:rFonts w:cs="Helvetica"/>
          <w:b/>
          <w:bCs/>
          <w:sz w:val="24"/>
          <w:szCs w:val="24"/>
        </w:rPr>
        <w:t xml:space="preserve"> </w:t>
      </w:r>
      <w:r w:rsidRPr="001D2056">
        <w:rPr>
          <w:rFonts w:cs="Helvetica"/>
          <w:sz w:val="24"/>
          <w:szCs w:val="24"/>
        </w:rPr>
        <w:t>La unitat física utilitzada en el camp 3. Pot ser Hectàrees (HA),  Caps de reproductors (CR), Caps d’engreix (CE).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> 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  <w:sz w:val="24"/>
          <w:szCs w:val="24"/>
        </w:rPr>
        <w:t xml:space="preserve">5. </w:t>
      </w:r>
      <w:r w:rsidRPr="001D2056">
        <w:rPr>
          <w:rFonts w:cs="Helvetica"/>
          <w:b/>
          <w:sz w:val="24"/>
          <w:szCs w:val="24"/>
          <w:u w:val="single"/>
        </w:rPr>
        <w:t>CODI DE PROVÍNCIA DE L’EXPLOTACIÓ:</w:t>
      </w:r>
      <w:r w:rsidRPr="001D2056">
        <w:rPr>
          <w:rFonts w:cs="Helvetica"/>
          <w:sz w:val="24"/>
          <w:szCs w:val="24"/>
        </w:rPr>
        <w:t xml:space="preserve"> Barcelona (08), Girona (17), Lleida (25) i Tarragona (43).</w:t>
      </w:r>
    </w:p>
    <w:p w:rsidR="008F1E52" w:rsidRPr="001D2056" w:rsidRDefault="008F1E52" w:rsidP="008F1E52">
      <w:pPr>
        <w:rPr>
          <w:rFonts w:cs="Helvetica"/>
          <w:sz w:val="24"/>
          <w:szCs w:val="24"/>
        </w:rPr>
      </w:pPr>
    </w:p>
    <w:p w:rsidR="008F1E52" w:rsidRPr="001D2056" w:rsidRDefault="008F1E52" w:rsidP="008F1E52">
      <w:pPr>
        <w:rPr>
          <w:rFonts w:cs="Helvetica"/>
          <w:sz w:val="24"/>
          <w:szCs w:val="24"/>
        </w:rPr>
      </w:pPr>
      <w:r w:rsidRPr="001D2056">
        <w:rPr>
          <w:rFonts w:cs="Helvetica"/>
        </w:rPr>
        <w:t xml:space="preserve">6.  </w:t>
      </w:r>
      <w:r w:rsidRPr="001D2056">
        <w:rPr>
          <w:rFonts w:cs="Helvetica"/>
          <w:b/>
          <w:u w:val="single"/>
        </w:rPr>
        <w:t>NÚMERO D’ACTIVITATS:</w:t>
      </w:r>
      <w:r w:rsidRPr="001D2056">
        <w:rPr>
          <w:rFonts w:cs="Helvetica"/>
        </w:rPr>
        <w:t xml:space="preserve"> </w:t>
      </w:r>
      <w:r w:rsidRPr="001D2056">
        <w:rPr>
          <w:rFonts w:cs="Helvetica"/>
          <w:sz w:val="24"/>
          <w:szCs w:val="24"/>
        </w:rPr>
        <w:t>Les activitats son els diferents productes agrícoles, ramaders i complementaris que produeix una explotació agrària. Els codis de les activitats són els indicats a l’Annex 8.</w:t>
      </w:r>
    </w:p>
    <w:sectPr w:rsidR="008F1E52" w:rsidRPr="001D2056" w:rsidSect="00D2428F">
      <w:headerReference w:type="default" r:id="rId7"/>
      <w:footerReference w:type="default" r:id="rId8"/>
      <w:type w:val="continuous"/>
      <w:pgSz w:w="11906" w:h="16838"/>
      <w:pgMar w:top="2694" w:right="1133" w:bottom="851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D2428F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056" w:rsidRDefault="001D2056" w:rsidP="001D2056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1F1B15A" wp14:editId="202DA2CA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6" name="Imatge 6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1D2056" w:rsidRDefault="001D2056" w:rsidP="001D2056">
    <w:pPr>
      <w:rPr>
        <w:sz w:val="24"/>
      </w:rPr>
    </w:pPr>
    <w:r>
      <w:rPr>
        <w:sz w:val="24"/>
      </w:rPr>
      <w:t xml:space="preserve">Departament d'Acció Climàtica, </w:t>
    </w:r>
  </w:p>
  <w:p w:rsidR="001D2056" w:rsidRDefault="001D2056" w:rsidP="001D2056">
    <w:pPr>
      <w:rPr>
        <w:sz w:val="24"/>
      </w:rPr>
    </w:pPr>
    <w:r>
      <w:rPr>
        <w:sz w:val="24"/>
      </w:rPr>
      <w:t xml:space="preserve">Alimentació i Agenda Rural </w:t>
    </w:r>
  </w:p>
  <w:p w:rsidR="001D2056" w:rsidRDefault="001D2056" w:rsidP="001D2056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1D2056" w:rsidRPr="00B91F3A" w:rsidRDefault="001D2056" w:rsidP="001D2056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1D2056" w:rsidRPr="006A674C" w:rsidRDefault="001D2056" w:rsidP="001D2056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1D2056" w:rsidRDefault="006A674C" w:rsidP="001D205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3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4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163D4"/>
    <w:rsid w:val="00142437"/>
    <w:rsid w:val="001D2056"/>
    <w:rsid w:val="001E3248"/>
    <w:rsid w:val="002030D0"/>
    <w:rsid w:val="002B21F8"/>
    <w:rsid w:val="002C445E"/>
    <w:rsid w:val="00320B7D"/>
    <w:rsid w:val="00330FC3"/>
    <w:rsid w:val="003408B5"/>
    <w:rsid w:val="00407287"/>
    <w:rsid w:val="00407DB5"/>
    <w:rsid w:val="00425840"/>
    <w:rsid w:val="00494225"/>
    <w:rsid w:val="004B0DB5"/>
    <w:rsid w:val="004C2216"/>
    <w:rsid w:val="004E10EF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40159"/>
    <w:rsid w:val="0076494C"/>
    <w:rsid w:val="00766D82"/>
    <w:rsid w:val="00821AC3"/>
    <w:rsid w:val="00851A28"/>
    <w:rsid w:val="008A2C1E"/>
    <w:rsid w:val="008F1E52"/>
    <w:rsid w:val="009213B1"/>
    <w:rsid w:val="009E74BF"/>
    <w:rsid w:val="00A56D58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D2428F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5</TotalTime>
  <Pages>1</Pages>
  <Words>226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7</cp:revision>
  <cp:lastPrinted>2006-12-11T07:17:00Z</cp:lastPrinted>
  <dcterms:created xsi:type="dcterms:W3CDTF">2018-07-06T11:52:00Z</dcterms:created>
  <dcterms:modified xsi:type="dcterms:W3CDTF">2022-06-10T08:39:00Z</dcterms:modified>
</cp:coreProperties>
</file>